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B79DC1" w14:textId="76316C0A" w:rsidR="001613DC" w:rsidRPr="00207BDF" w:rsidRDefault="001613DC" w:rsidP="00322ED3">
      <w:pPr>
        <w:ind w:firstLine="720"/>
        <w:jc w:val="center"/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</w:pPr>
      <w:r w:rsidRPr="00207BDF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 xml:space="preserve">Commission on the Status of Women 63rd </w:t>
      </w:r>
      <w:bookmarkStart w:id="0" w:name="_GoBack"/>
      <w:bookmarkEnd w:id="0"/>
      <w:r w:rsidRPr="00207BDF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>Session</w:t>
      </w:r>
    </w:p>
    <w:p w14:paraId="3F80CF13" w14:textId="77777777" w:rsidR="00207BDF" w:rsidRDefault="001613DC" w:rsidP="001613DC">
      <w:pPr>
        <w:jc w:val="center"/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</w:pPr>
      <w:r w:rsidRPr="00207BDF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 xml:space="preserve">Reading List for the Parallel Event </w:t>
      </w:r>
    </w:p>
    <w:p w14:paraId="1DB3750D" w14:textId="4B94D2B6" w:rsidR="00AA330A" w:rsidRPr="00207BDF" w:rsidRDefault="00AA330A" w:rsidP="001613DC">
      <w:pPr>
        <w:jc w:val="center"/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</w:pPr>
      <w:r w:rsidRPr="00207BDF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>"The Safety of Women and Girls in Educational Settings”</w:t>
      </w:r>
    </w:p>
    <w:p w14:paraId="089E2567" w14:textId="77777777" w:rsidR="00AA330A" w:rsidRPr="0031656D" w:rsidRDefault="00AA330A" w:rsidP="00AA330A">
      <w:pPr>
        <w:rPr>
          <w:rFonts w:ascii="Times New Roman" w:eastAsia="Times New Roman" w:hAnsi="Times New Roman" w:cs="Times New Roman"/>
          <w:b/>
          <w:color w:val="222222"/>
          <w:sz w:val="24"/>
          <w:szCs w:val="24"/>
          <w:lang w:val="en-US"/>
        </w:rPr>
      </w:pPr>
    </w:p>
    <w:p w14:paraId="4F6D9FA1" w14:textId="5F9C5186" w:rsidR="00ED10AC" w:rsidRPr="0031656D" w:rsidRDefault="00ED10AC" w:rsidP="001B17FB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31656D">
        <w:rPr>
          <w:rFonts w:ascii="Times New Roman" w:hAnsi="Times New Roman" w:cs="Times New Roman"/>
          <w:sz w:val="24"/>
          <w:szCs w:val="24"/>
        </w:rPr>
        <w:t>Act</w:t>
      </w:r>
      <w:r w:rsidR="001B17FB" w:rsidRPr="0031656D">
        <w:rPr>
          <w:rFonts w:ascii="Times New Roman" w:hAnsi="Times New Roman" w:cs="Times New Roman"/>
          <w:sz w:val="24"/>
          <w:szCs w:val="24"/>
        </w:rPr>
        <w:t>ion Aid. (2013). Stop violence a</w:t>
      </w:r>
      <w:r w:rsidRPr="0031656D">
        <w:rPr>
          <w:rFonts w:ascii="Times New Roman" w:hAnsi="Times New Roman" w:cs="Times New Roman"/>
          <w:sz w:val="24"/>
          <w:szCs w:val="24"/>
        </w:rPr>
        <w:t xml:space="preserve">gainst </w:t>
      </w:r>
      <w:r w:rsidR="001B17FB" w:rsidRPr="0031656D">
        <w:rPr>
          <w:rFonts w:ascii="Times New Roman" w:hAnsi="Times New Roman" w:cs="Times New Roman"/>
          <w:sz w:val="24"/>
          <w:szCs w:val="24"/>
        </w:rPr>
        <w:t>g</w:t>
      </w:r>
      <w:r w:rsidRPr="0031656D">
        <w:rPr>
          <w:rFonts w:ascii="Times New Roman" w:hAnsi="Times New Roman" w:cs="Times New Roman"/>
          <w:sz w:val="24"/>
          <w:szCs w:val="24"/>
        </w:rPr>
        <w:t xml:space="preserve">irls in </w:t>
      </w:r>
      <w:r w:rsidR="001B17FB" w:rsidRPr="0031656D">
        <w:rPr>
          <w:rFonts w:ascii="Times New Roman" w:hAnsi="Times New Roman" w:cs="Times New Roman"/>
          <w:sz w:val="24"/>
          <w:szCs w:val="24"/>
        </w:rPr>
        <w:t>s</w:t>
      </w:r>
      <w:r w:rsidRPr="0031656D">
        <w:rPr>
          <w:rFonts w:ascii="Times New Roman" w:hAnsi="Times New Roman" w:cs="Times New Roman"/>
          <w:sz w:val="24"/>
          <w:szCs w:val="24"/>
        </w:rPr>
        <w:t xml:space="preserve">chool: A cross-country analysis of change in Ghana, Kenya and Mozambique.  Retrieved from: </w:t>
      </w:r>
      <w:hyperlink r:id="rId7" w:history="1">
        <w:r w:rsidRPr="0031656D">
          <w:rPr>
            <w:rStyle w:val="Hyperlink"/>
            <w:rFonts w:ascii="Times New Roman" w:hAnsi="Times New Roman" w:cs="Times New Roman"/>
            <w:sz w:val="24"/>
            <w:szCs w:val="24"/>
          </w:rPr>
          <w:t>http://www.actionaidusa.org/sites/files/actionaid/svags_review_final.pdf</w:t>
        </w:r>
      </w:hyperlink>
      <w:r w:rsidRPr="0031656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B6AA957" w14:textId="07B21576" w:rsidR="00DE7736" w:rsidRPr="0031656D" w:rsidRDefault="00DE7736" w:rsidP="001B17FB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31656D">
        <w:rPr>
          <w:rFonts w:ascii="Times New Roman" w:hAnsi="Times New Roman" w:cs="Times New Roman"/>
          <w:sz w:val="24"/>
          <w:szCs w:val="24"/>
        </w:rPr>
        <w:t xml:space="preserve">Al-Muftah, E. (2017). Qatari women in a corporatized higher education setting: International reforms and their local bearings. </w:t>
      </w:r>
      <w:r w:rsidRPr="0031656D">
        <w:rPr>
          <w:rFonts w:ascii="Times New Roman" w:hAnsi="Times New Roman" w:cs="Times New Roman"/>
          <w:i/>
          <w:sz w:val="24"/>
          <w:szCs w:val="24"/>
        </w:rPr>
        <w:t>Journal for Critical Education Policy Studies, 15</w:t>
      </w:r>
      <w:r w:rsidRPr="0031656D">
        <w:rPr>
          <w:rFonts w:ascii="Times New Roman" w:hAnsi="Times New Roman" w:cs="Times New Roman"/>
          <w:sz w:val="24"/>
          <w:szCs w:val="24"/>
        </w:rPr>
        <w:t>(1), 19-41.</w:t>
      </w:r>
    </w:p>
    <w:p w14:paraId="125B5D1F" w14:textId="6A6969B0" w:rsidR="00731447" w:rsidRPr="0031656D" w:rsidRDefault="00731447" w:rsidP="00731447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31656D">
        <w:rPr>
          <w:rFonts w:ascii="Times New Roman" w:hAnsi="Times New Roman" w:cs="Times New Roman"/>
          <w:sz w:val="24"/>
          <w:szCs w:val="24"/>
        </w:rPr>
        <w:t xml:space="preserve">Barr, H. (2017). </w:t>
      </w:r>
      <w:r w:rsidRPr="0031656D">
        <w:rPr>
          <w:rFonts w:ascii="Times New Roman" w:hAnsi="Times New Roman" w:cs="Times New Roman"/>
          <w:i/>
          <w:sz w:val="24"/>
          <w:szCs w:val="24"/>
        </w:rPr>
        <w:t>"I won't be a doctor, and one day you'll be sick": Girls' access to education in Afghanistan.</w:t>
      </w:r>
      <w:r w:rsidRPr="0031656D">
        <w:rPr>
          <w:rFonts w:ascii="Times New Roman" w:hAnsi="Times New Roman" w:cs="Times New Roman"/>
          <w:sz w:val="24"/>
          <w:szCs w:val="24"/>
        </w:rPr>
        <w:t xml:space="preserve">  New York: Human Rights Watch.  </w:t>
      </w:r>
      <w:hyperlink r:id="rId8" w:history="1">
        <w:r w:rsidRPr="0031656D">
          <w:rPr>
            <w:rStyle w:val="Hyperlink"/>
            <w:rFonts w:ascii="Times New Roman" w:hAnsi="Times New Roman" w:cs="Times New Roman"/>
            <w:sz w:val="24"/>
            <w:szCs w:val="24"/>
          </w:rPr>
          <w:t>https://www.hrw.org/report/2017/10/17/i-wont-be-doctor-and-one-day-youll-be-sick/girls-access-education-afghanistan#</w:t>
        </w:r>
      </w:hyperlink>
      <w:r w:rsidRPr="0031656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7266970" w14:textId="70CD339D" w:rsidR="00F62DA6" w:rsidRPr="0031656D" w:rsidRDefault="00F62DA6" w:rsidP="00731447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31656D">
        <w:rPr>
          <w:rFonts w:ascii="Times New Roman" w:hAnsi="Times New Roman" w:cs="Times New Roman"/>
          <w:sz w:val="24"/>
          <w:szCs w:val="24"/>
        </w:rPr>
        <w:t xml:space="preserve">Baldry, A. C., Farrington, D. P. &amp; Sorrentino, A. (2017). School bullying and cyberbullying among boys and girls: Roles and overlap. </w:t>
      </w:r>
      <w:r w:rsidRPr="0031656D">
        <w:rPr>
          <w:rFonts w:ascii="Times New Roman" w:hAnsi="Times New Roman" w:cs="Times New Roman"/>
          <w:i/>
          <w:sz w:val="24"/>
          <w:szCs w:val="24"/>
        </w:rPr>
        <w:t>Journal of Aggression, Maltreatment &amp; Trauma, 26</w:t>
      </w:r>
      <w:r w:rsidRPr="0031656D">
        <w:rPr>
          <w:rFonts w:ascii="Times New Roman" w:hAnsi="Times New Roman" w:cs="Times New Roman"/>
          <w:sz w:val="24"/>
          <w:szCs w:val="24"/>
        </w:rPr>
        <w:t>(9), 937–951.</w:t>
      </w:r>
    </w:p>
    <w:p w14:paraId="11ECF1F3" w14:textId="6DF0E284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Bertram, C. (2012). Girls resisting gender violence on the streets and in schools.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Sex Roles, 66</w:t>
      </w:r>
      <w:r w:rsidR="001B17FB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(3-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4), 296-298. </w:t>
      </w:r>
    </w:p>
    <w:p w14:paraId="673358F4" w14:textId="595F1F50" w:rsidR="0039631C" w:rsidRPr="0031656D" w:rsidRDefault="0039631C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Bowman, C. G. &amp; Brundige, E. (2013). Sexism, sexual violence, sexuality, and the schooling of girls in Africa: A case study from Lusaka Province, Zambia.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Texas Journal of Women &amp; the Law, 23(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1), 37–75</w:t>
      </w:r>
    </w:p>
    <w:p w14:paraId="4A0ABEE9" w14:textId="0B41F2AB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Branch, K. A., Hayes-Smith, R. &amp; Richards, T. N. (2011). Professors’ experiences with student disclosures of sexual assault and intimate partner violence: How “helping” students can inform teaching practices.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Feminist Criminology, 6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54–75.</w:t>
      </w:r>
    </w:p>
    <w:p w14:paraId="78F3D009" w14:textId="7983FA4E" w:rsidR="00F62DA6" w:rsidRPr="0031656D" w:rsidRDefault="00F62DA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Brubaker, S. J. (2018). Campus-based sexual assault victim advocacy and Title IX: Revisiting tensions between grassroots activism and the criminal justice system.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Feminist Criminology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 Online First.</w:t>
      </w:r>
    </w:p>
    <w:p w14:paraId="797ED0B5" w14:textId="19449ACA" w:rsidR="003011C9" w:rsidRPr="0031656D" w:rsidRDefault="003011C9" w:rsidP="003011C9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Cantor, D., Fisher, B., Chilbnall, S., Townsend, R., Bruce, C. &amp; Thomas, G. (2015). Report on the AAU Climate Survey and Sexual Assault and Sexual Misconduct. </w:t>
      </w:r>
      <w:hyperlink r:id="rId9" w:history="1">
        <w:r w:rsidRPr="0031656D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n-US"/>
          </w:rPr>
          <w:t>https://www.aau.edu/Climate-Survey.aspx?id=16525</w:t>
        </w:r>
      </w:hyperlink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</w:p>
    <w:p w14:paraId="69087C99" w14:textId="7964CB8F" w:rsidR="00731447" w:rsidRPr="0031656D" w:rsidRDefault="00731447" w:rsidP="00731447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Cervantes-Soon, C.G. (2017). 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Juárez girls rising: Transformative education in times of dystopia.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Minneapolis: University of Minnesota Press</w:t>
      </w:r>
      <w:r w:rsidR="00FA0AAA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</w:p>
    <w:p w14:paraId="4D05C893" w14:textId="310D37BF" w:rsidR="00FA0AAA" w:rsidRPr="0031656D" w:rsidRDefault="00FA0AAA" w:rsidP="00731447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Daigle, L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E., Scherer, 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H.L.,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Fisher,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B.S. &amp;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Azimi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 A. (2016)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.  Intimate 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artner 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v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iolence 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mong 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ollege 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tudents: Measurement, 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isk 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actors, 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onsequences, and 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esponses.  In Cuevas, C.A. 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&amp;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Rennison, C.M. (Eds.),</w:t>
      </w:r>
      <w:r w:rsidR="00396157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Handbook on the Psychology of Violence.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 Wiley-Blackwell. Pp. 373-395</w:t>
      </w:r>
    </w:p>
    <w:p w14:paraId="5E0C9FEA" w14:textId="77777777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Deo, N. (2014). The politics of education in Afghanistan, Pakistan Journal of Women's Studies: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Alam-e-Niswan = Alam-i Nisvan, 21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1-27.</w:t>
      </w:r>
    </w:p>
    <w:p w14:paraId="255FAB87" w14:textId="469B6D35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Drury, K., Bukowski, W. </w:t>
      </w:r>
      <w:r w:rsidR="00322ED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M., Velásquez, A.,M. &amp; Stella-L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opez, L. (2013). Victimization and gender identity in single-sex and mixed-sex schools: Examining contextual variations in pressure to conform to gender norms.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Sex Roles, 69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(7-8), 442-454. </w:t>
      </w:r>
    </w:p>
    <w:p w14:paraId="71104F0D" w14:textId="3FBC47AD" w:rsidR="00FA0AAA" w:rsidRPr="0031656D" w:rsidRDefault="00FA0AAA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Sloan, JJ. </w:t>
      </w:r>
      <w:r w:rsidR="0031656D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&amp;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Fisher</w:t>
      </w:r>
      <w:r w:rsidR="0031656D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 B.S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="0031656D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(2010).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The </w:t>
      </w:r>
      <w:r w:rsidR="0031656D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d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ark </w:t>
      </w:r>
      <w:r w:rsidR="0031656D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ide of the </w:t>
      </w:r>
      <w:r w:rsidR="0031656D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i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vory </w:t>
      </w:r>
      <w:r w:rsidR="0031656D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t</w:t>
      </w:r>
      <w:r w:rsid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ower: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 Campus </w:t>
      </w:r>
      <w:r w:rsidR="0031656D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rime as a </w:t>
      </w:r>
      <w:r w:rsidR="0031656D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ocial </w:t>
      </w:r>
      <w:r w:rsidR="0031656D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roblem.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 Cambridge, UK:</w:t>
      </w:r>
      <w:r w:rsid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Cambridge University Press.     </w:t>
      </w:r>
    </w:p>
    <w:p w14:paraId="5C8B9065" w14:textId="3E12B979" w:rsidR="00FA0AAA" w:rsidRPr="0031656D" w:rsidRDefault="00FA0AAA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Fisher, B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S., Daigle,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L.E. &amp;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Cullen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 F.T.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(2010).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Unsafe in the </w:t>
      </w:r>
      <w:r w:rsidR="003011C9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i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vory </w:t>
      </w:r>
      <w:r w:rsidR="003011C9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t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ower:  The </w:t>
      </w:r>
      <w:r w:rsidR="003011C9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exual </w:t>
      </w:r>
      <w:r w:rsidR="003011C9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v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ictimization of </w:t>
      </w:r>
      <w:r w:rsidR="003011C9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ollege </w:t>
      </w:r>
      <w:r w:rsidR="003011C9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omen. 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Thousand Oaks, CA:  SAGE Publications, Inc.</w:t>
      </w:r>
    </w:p>
    <w:p w14:paraId="712F5572" w14:textId="1A16D43D" w:rsidR="00FA0AAA" w:rsidRPr="0031656D" w:rsidRDefault="00FA0AAA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Fisher, B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S.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&amp;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Sloan,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J.J.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III (Eds.).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(2013) </w:t>
      </w:r>
      <w:r w:rsidR="003011C9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Campus c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rime: Legal, </w:t>
      </w:r>
      <w:r w:rsidR="003011C9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ocial and</w:t>
      </w:r>
      <w:r w:rsidR="003011C9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 policy perspectives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Springfield, IL: Charles C. Thomas.</w:t>
      </w:r>
    </w:p>
    <w:p w14:paraId="62441383" w14:textId="77777777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lastRenderedPageBreak/>
        <w:t>Girls, Inc. and The Center for Anti-Violence Education. (1998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). Action for safety: A self-defense and violence prevention program for girls 9-11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. New York: Girls, Inc. </w:t>
      </w:r>
    </w:p>
    <w:p w14:paraId="53B9667D" w14:textId="77777777" w:rsidR="00322ED3" w:rsidRDefault="00322ED3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</w:p>
    <w:p w14:paraId="68AD6EA4" w14:textId="77777777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Girod, C., Ellis, A., Andes, K. L., Freeman, M. C., &amp; Caruso, B. A. (2017). Physical, social, and political inequities constraining girls’ menstrual management at schools in informal settlements of Nairobi, Kenya.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Journal of Urban Health, 94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(6), 835-846.</w:t>
      </w:r>
    </w:p>
    <w:p w14:paraId="607A728D" w14:textId="4C0F09A0" w:rsidR="00DE7736" w:rsidRPr="0031656D" w:rsidRDefault="00DE7736" w:rsidP="001B17FB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31656D">
        <w:rPr>
          <w:rFonts w:ascii="Times New Roman" w:hAnsi="Times New Roman" w:cs="Times New Roman"/>
          <w:sz w:val="24"/>
          <w:szCs w:val="24"/>
        </w:rPr>
        <w:t xml:space="preserve">Hagues, R. (2017). “‘The Girl is Brought up Knowing She’s Nothing’: Listening to voices of Tanzanian women and girls. </w:t>
      </w:r>
      <w:r w:rsidRPr="0031656D">
        <w:rPr>
          <w:rFonts w:ascii="Times New Roman" w:hAnsi="Times New Roman" w:cs="Times New Roman"/>
          <w:i/>
          <w:sz w:val="24"/>
          <w:szCs w:val="24"/>
        </w:rPr>
        <w:t>Children &amp; Schools, 39</w:t>
      </w:r>
      <w:r w:rsidRPr="0031656D">
        <w:rPr>
          <w:rFonts w:ascii="Times New Roman" w:hAnsi="Times New Roman" w:cs="Times New Roman"/>
          <w:sz w:val="24"/>
          <w:szCs w:val="24"/>
        </w:rPr>
        <w:t>(2), 109-117.</w:t>
      </w:r>
    </w:p>
    <w:p w14:paraId="5489776B" w14:textId="77777777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Haver, J., Long, J. L., Caruso, B. A., &amp; Dreibelbis, R. (2018). New directions for assessing menstrual hygiene management (MHM) in schools: A bottom-up approach to measuring program success (dispatch).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Studies in Social Justice, 12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(2), 372-381. </w:t>
      </w:r>
    </w:p>
    <w:p w14:paraId="07EF2A07" w14:textId="6257ACF8" w:rsidR="007679FE" w:rsidRPr="0031656D" w:rsidRDefault="007679FE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Jackson, A.  (2011).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High stakes: Girls’ education in Afghanistan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. Retrieved from </w:t>
      </w:r>
      <w:hyperlink r:id="rId10" w:history="1">
        <w:r w:rsidRPr="0031656D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n-US"/>
          </w:rPr>
          <w:t>http://www.oxfam.org/sites/www.oxfam.org/files/afghanistan-girls-education-022411.pdf</w:t>
        </w:r>
      </w:hyperlink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</w:p>
    <w:p w14:paraId="38D401BB" w14:textId="5553B90E" w:rsidR="007679FE" w:rsidRPr="0031656D" w:rsidRDefault="007679FE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Jamal, A. (2015). Engaging men for gender justice: Overcoming barriers to girls’ education in the Pashtun tribes of Pakistan.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International Journal of Social Welfare, 24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(3), 273–286.</w:t>
      </w:r>
    </w:p>
    <w:p w14:paraId="6E175E29" w14:textId="350F9A1A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Jewitt S</w:t>
      </w:r>
      <w:r w:rsidR="00322ED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 &amp;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Ryley</w:t>
      </w:r>
      <w:r w:rsidR="00322ED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H. (2014). It’s a girl thing: menstruation, school attendance, spatial mobility and wider gender inequalities in Kenya,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Geoforum, 56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 137–47.</w:t>
      </w:r>
    </w:p>
    <w:p w14:paraId="4C09E963" w14:textId="11C7FE9B" w:rsidR="009826D1" w:rsidRDefault="009826D1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Joda, F. &amp; Abdulrasheed, O. (2015). Effects of insurgency on girls’ education in North Eastern Nigeria.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European Journal of Education and Development Psychology, 3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44-50.</w:t>
      </w:r>
    </w:p>
    <w:p w14:paraId="709CA385" w14:textId="780EF4AB" w:rsidR="00322ED3" w:rsidRPr="0031656D" w:rsidRDefault="00322ED3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22ED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Khadijah, N. (2017). Building school lat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rines in I</w:t>
      </w:r>
      <w:r w:rsidRPr="00322ED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ndia to increase school enrollment.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Chicago Policy Review (Online).</w:t>
      </w:r>
    </w:p>
    <w:p w14:paraId="7B0A8340" w14:textId="341957B2" w:rsidR="009826D1" w:rsidRPr="0031656D" w:rsidRDefault="009826D1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Kosciw, J. G., Greytak, E. A., Zongrone, A. D., Clark, C. M., &amp; Truong, N. L. (2018). The 2017 National School Climate Survey: The Experiences of Lesbian, Gay, Bisexual, Transgender, and Queer Youth in Our Nation's Schools. Gay, Lesbian and Straight Education Network (GLSEN). </w:t>
      </w:r>
      <w:hyperlink r:id="rId11" w:history="1">
        <w:r w:rsidRPr="0031656D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n-US"/>
          </w:rPr>
          <w:t>https://www.glsen.org/sites/default/files/GLSEN%202017%20National%20School%20Climate%20Survey%20%28NSCS%29%20-%20Full%20Report.pdf</w:t>
        </w:r>
      </w:hyperlink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</w:p>
    <w:p w14:paraId="4655EEE3" w14:textId="63F44178" w:rsidR="00ED10AC" w:rsidRPr="0031656D" w:rsidRDefault="00ED10AC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Koss, M.P., Wilgus, J.K. &amp; Williamson, K.M. (2014). Campus sexual misconduct: restorative justice approaches to enhance compliance with Title IX guidance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. Trauma, Violence &amp; Abuse, 15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(3), 242-257.</w:t>
      </w:r>
    </w:p>
    <w:p w14:paraId="56952C8B" w14:textId="6D94E7AC" w:rsidR="00FA0AAA" w:rsidRPr="0031656D" w:rsidRDefault="00FA0AAA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Lasky, N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V., Fisher,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B.S.,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Henriksen,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C.B. &amp;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Swan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 S.C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.  (2017). Binge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d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rinking, Greek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l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ife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embership, and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irst-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y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ear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undergraduates: T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he “Perfect Storm” for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d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rugging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v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ictimization. 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Journal of School Violence</w:t>
      </w:r>
      <w:r w:rsidR="003011C9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, 16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(2),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173-188.</w:t>
      </w:r>
    </w:p>
    <w:p w14:paraId="2C74A84F" w14:textId="2A99E54F" w:rsidR="00AF1C60" w:rsidRPr="0031656D" w:rsidRDefault="00AF1C60" w:rsidP="00AF1C60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Long, J., Caruso, B. A., Lopez, D., Vancraeynes, K., Sahin, M., Andes, K. L., &amp; Freeman, M. C. (2013). WASH in schools empowers girls’ education in rural Cochabamba, Bolivia: An assessment of menstrual hygiene management in schools. New York: United Nations Children’s Fund.</w:t>
      </w:r>
      <w:r w:rsidRPr="0031656D">
        <w:rPr>
          <w:rFonts w:ascii="Times New Roman" w:hAnsi="Times New Roman" w:cs="Times New Roman"/>
          <w:sz w:val="24"/>
          <w:szCs w:val="24"/>
        </w:rPr>
        <w:t xml:space="preserve"> </w:t>
      </w:r>
      <w:hyperlink r:id="rId12" w:history="1">
        <w:r w:rsidRPr="0031656D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n-US"/>
          </w:rPr>
          <w:t>https://www.unicef.org/wash/schools/files/Bolivia_MHM_Booklet_DM_15_Nov_single_0940_Bolivia.pdf</w:t>
        </w:r>
      </w:hyperlink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</w:p>
    <w:p w14:paraId="3FB321E4" w14:textId="6005E0BD" w:rsidR="00FA0AAA" w:rsidRPr="0031656D" w:rsidRDefault="00FA0AAA" w:rsidP="00FA0AAA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Martinez, E. (2017). "I had a dream to finish school": Barriers to secondary education in Tanzania.  New York: Human Rights Watch. </w:t>
      </w:r>
      <w:hyperlink r:id="rId13" w:history="1">
        <w:r w:rsidRPr="0031656D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n-US"/>
          </w:rPr>
          <w:t>https://www.hrw.org/report/2017/02/14/i-had-dream-finish-school/barriers-secondary-education-tanzania#</w:t>
        </w:r>
      </w:hyperlink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</w:p>
    <w:p w14:paraId="5EC197A7" w14:textId="345B979C" w:rsidR="007679FE" w:rsidRPr="0031656D" w:rsidRDefault="007679FE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  <w:t xml:space="preserve">Mercader, P., Léchenet, A., &amp; Durif-Varembont, J.-P. (2017). « Si elle fait sa belle, il faut la frapper ! »: Ou comment les filles apprennent à se tenir à leur place.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["If she thinks she is so special, beat her." How girls are taught to stay in their place.]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Criminologie, 50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167–187.</w:t>
      </w:r>
    </w:p>
    <w:p w14:paraId="1D68C5C0" w14:textId="77777777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Morojele, P., &amp; Muthukrishna, N. (2016). 'My journey to school': Photovoice accounts of rural children's everyday experiences in Lesotho.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Gender and Behaviour, 14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(3), 7938-7961. </w:t>
      </w:r>
    </w:p>
    <w:p w14:paraId="20B556D9" w14:textId="32979C3B" w:rsidR="00731447" w:rsidRPr="0031656D" w:rsidRDefault="00731447" w:rsidP="00731447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lastRenderedPageBreak/>
        <w:t xml:space="preserve">Morris, M. (2016).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Pushout: the criminalization of Black girls in schools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  New York: The New Press.</w:t>
      </w:r>
    </w:p>
    <w:p w14:paraId="7D515387" w14:textId="77777777" w:rsidR="00322ED3" w:rsidRDefault="00322ED3" w:rsidP="00AF1C60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</w:p>
    <w:p w14:paraId="33FE68EA" w14:textId="77777777" w:rsidR="00322ED3" w:rsidRDefault="00322ED3" w:rsidP="00AF1C60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</w:p>
    <w:p w14:paraId="58939FA0" w14:textId="0BA7C26B" w:rsidR="007679FE" w:rsidRPr="0031656D" w:rsidRDefault="00AF1C60" w:rsidP="00AF1C60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Morrison, J., Basnet, M., Bhatt, A., Khimbanjar, S., Chaulagain, S., Sah, N.,</w:t>
      </w:r>
      <w:r w:rsidRPr="0031656D">
        <w:rPr>
          <w:rFonts w:ascii="Times New Roman" w:hAnsi="Times New Roman" w:cs="Times New Roman"/>
          <w:sz w:val="24"/>
          <w:szCs w:val="24"/>
        </w:rPr>
        <w:t xml:space="preserve">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Baral, S., Mahon, T. &amp; Hodgkin, M. (2018). Girls’ m</w:t>
      </w:r>
      <w:r w:rsidR="007679FE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enstrual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</w:t>
      </w:r>
      <w:r w:rsidR="007679FE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anagement in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</w:t>
      </w:r>
      <w:r w:rsidR="007679FE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ive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d</w:t>
      </w:r>
      <w:r w:rsidR="007679FE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istricts of Nepal: Implications for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="007679FE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olicy and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="007679FE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ractice. </w:t>
      </w:r>
      <w:r w:rsidR="007679FE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Studies in Social Justice, 12</w:t>
      </w:r>
      <w:r w:rsidR="007679FE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251–272.</w:t>
      </w:r>
    </w:p>
    <w:p w14:paraId="577729D8" w14:textId="420BB10C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Muno, A. &amp; Keenan, L. D. (2000). The after-school girls leadership program: Transforming the school environment for adolescent girls.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Social Work in Education, 22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(2), 116. </w:t>
      </w:r>
    </w:p>
    <w:p w14:paraId="118D2E2B" w14:textId="77777777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Murray, L. (2009). Making the journey to school: The gendered and generational aspects of risk in constructing everyday mobility.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Health, Risk &amp; Society, 11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(5), 471-486. </w:t>
      </w:r>
    </w:p>
    <w:p w14:paraId="7030F445" w14:textId="77777777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Muzvidziwa, I. (2017). Gender and the development of a positive school culture and academic excellence.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Journal of Social Development in Africa, 32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(2), 139-157. </w:t>
      </w:r>
    </w:p>
    <w:p w14:paraId="46153206" w14:textId="3280F71E" w:rsidR="000B0948" w:rsidRPr="0031656D" w:rsidRDefault="000B0948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Nakray, K. (2018). Gender and education policy in India: Twists, turns and trims of transnational policy transfers. 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International Sociology, 33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27-44.</w:t>
      </w:r>
    </w:p>
    <w:p w14:paraId="292BD675" w14:textId="0771C52A" w:rsidR="000B0948" w:rsidRPr="0031656D" w:rsidRDefault="000B0948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Natarajan, M, Schmuhl, M, Sudula, S. &amp; Mandala, M. (2017).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 whole journey approach to understanding sexual victimization in New York City public transport environment for Special Issue on women’s safety in transit environments in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Crime Prevention and Community Safety, 19(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3-4), 168-182.</w:t>
      </w:r>
    </w:p>
    <w:p w14:paraId="32A59AD3" w14:textId="27812638" w:rsidR="000B0948" w:rsidRPr="0031656D" w:rsidRDefault="000B0948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Natarajan, M. (2016). Rapid assessment of sexual harassment of young women during the commute to colleges in India.   </w:t>
      </w:r>
      <w:hyperlink r:id="rId14" w:history="1">
        <w:r w:rsidRPr="0031656D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fr-CA"/>
          </w:rPr>
          <w:t>https://crimesciencejournal.springeropen.com/articles/10.1186/s40163-016-0054-9</w:t>
        </w:r>
      </w:hyperlink>
    </w:p>
    <w:p w14:paraId="2117F44D" w14:textId="33437284" w:rsidR="00DE7736" w:rsidRPr="0031656D" w:rsidRDefault="00DE7736" w:rsidP="001B17FB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31656D">
        <w:rPr>
          <w:rFonts w:ascii="Times New Roman" w:hAnsi="Times New Roman" w:cs="Times New Roman"/>
          <w:sz w:val="24"/>
          <w:szCs w:val="24"/>
          <w:lang w:val="fr-CA"/>
        </w:rPr>
        <w:t>Novkov, J</w:t>
      </w:r>
      <w:r w:rsidR="00ED10AC" w:rsidRPr="0031656D">
        <w:rPr>
          <w:rFonts w:ascii="Times New Roman" w:hAnsi="Times New Roman" w:cs="Times New Roman"/>
          <w:sz w:val="24"/>
          <w:szCs w:val="24"/>
          <w:lang w:val="fr-CA"/>
        </w:rPr>
        <w:t>.</w:t>
      </w:r>
      <w:r w:rsidRPr="0031656D">
        <w:rPr>
          <w:rFonts w:ascii="Times New Roman" w:hAnsi="Times New Roman" w:cs="Times New Roman"/>
          <w:sz w:val="24"/>
          <w:szCs w:val="24"/>
          <w:lang w:val="fr-CA"/>
        </w:rPr>
        <w:t xml:space="preserve"> </w:t>
      </w:r>
      <w:r w:rsidR="00ED10AC" w:rsidRPr="0031656D">
        <w:rPr>
          <w:rFonts w:ascii="Times New Roman" w:hAnsi="Times New Roman" w:cs="Times New Roman"/>
          <w:sz w:val="24"/>
          <w:szCs w:val="24"/>
          <w:lang w:val="fr-CA"/>
        </w:rPr>
        <w:t>(</w:t>
      </w:r>
      <w:r w:rsidRPr="0031656D">
        <w:rPr>
          <w:rFonts w:ascii="Times New Roman" w:hAnsi="Times New Roman" w:cs="Times New Roman"/>
          <w:sz w:val="24"/>
          <w:szCs w:val="24"/>
          <w:lang w:val="fr-CA"/>
        </w:rPr>
        <w:t>2016</w:t>
      </w:r>
      <w:r w:rsidR="00ED10AC" w:rsidRPr="0031656D">
        <w:rPr>
          <w:rFonts w:ascii="Times New Roman" w:hAnsi="Times New Roman" w:cs="Times New Roman"/>
          <w:sz w:val="24"/>
          <w:szCs w:val="24"/>
          <w:lang w:val="fr-CA"/>
        </w:rPr>
        <w:t xml:space="preserve">). </w:t>
      </w:r>
      <w:r w:rsidRPr="0031656D">
        <w:rPr>
          <w:rFonts w:ascii="Times New Roman" w:hAnsi="Times New Roman" w:cs="Times New Roman"/>
          <w:sz w:val="24"/>
          <w:szCs w:val="24"/>
        </w:rPr>
        <w:t xml:space="preserve">Equality, </w:t>
      </w:r>
      <w:r w:rsidR="00ED10AC" w:rsidRPr="0031656D">
        <w:rPr>
          <w:rFonts w:ascii="Times New Roman" w:hAnsi="Times New Roman" w:cs="Times New Roman"/>
          <w:sz w:val="24"/>
          <w:szCs w:val="24"/>
        </w:rPr>
        <w:t>p</w:t>
      </w:r>
      <w:r w:rsidRPr="0031656D">
        <w:rPr>
          <w:rFonts w:ascii="Times New Roman" w:hAnsi="Times New Roman" w:cs="Times New Roman"/>
          <w:sz w:val="24"/>
          <w:szCs w:val="24"/>
        </w:rPr>
        <w:t xml:space="preserve">rocess, and </w:t>
      </w:r>
      <w:r w:rsidR="00ED10AC" w:rsidRPr="0031656D">
        <w:rPr>
          <w:rFonts w:ascii="Times New Roman" w:hAnsi="Times New Roman" w:cs="Times New Roman"/>
          <w:sz w:val="24"/>
          <w:szCs w:val="24"/>
        </w:rPr>
        <w:t>c</w:t>
      </w:r>
      <w:r w:rsidRPr="0031656D">
        <w:rPr>
          <w:rFonts w:ascii="Times New Roman" w:hAnsi="Times New Roman" w:cs="Times New Roman"/>
          <w:sz w:val="24"/>
          <w:szCs w:val="24"/>
        </w:rPr>
        <w:t xml:space="preserve">ampus </w:t>
      </w:r>
      <w:r w:rsidR="00ED10AC" w:rsidRPr="0031656D">
        <w:rPr>
          <w:rFonts w:ascii="Times New Roman" w:hAnsi="Times New Roman" w:cs="Times New Roman"/>
          <w:sz w:val="24"/>
          <w:szCs w:val="24"/>
        </w:rPr>
        <w:t>s</w:t>
      </w:r>
      <w:r w:rsidRPr="0031656D">
        <w:rPr>
          <w:rFonts w:ascii="Times New Roman" w:hAnsi="Times New Roman" w:cs="Times New Roman"/>
          <w:sz w:val="24"/>
          <w:szCs w:val="24"/>
        </w:rPr>
        <w:t xml:space="preserve">exual </w:t>
      </w:r>
      <w:r w:rsidR="00ED10AC" w:rsidRPr="0031656D">
        <w:rPr>
          <w:rFonts w:ascii="Times New Roman" w:hAnsi="Times New Roman" w:cs="Times New Roman"/>
          <w:sz w:val="24"/>
          <w:szCs w:val="24"/>
        </w:rPr>
        <w:t>a</w:t>
      </w:r>
      <w:r w:rsidRPr="0031656D">
        <w:rPr>
          <w:rFonts w:ascii="Times New Roman" w:hAnsi="Times New Roman" w:cs="Times New Roman"/>
          <w:sz w:val="24"/>
          <w:szCs w:val="24"/>
        </w:rPr>
        <w:t>ssault</w:t>
      </w:r>
      <w:r w:rsidR="00ED10AC" w:rsidRPr="0031656D">
        <w:rPr>
          <w:rFonts w:ascii="Times New Roman" w:hAnsi="Times New Roman" w:cs="Times New Roman"/>
          <w:sz w:val="24"/>
          <w:szCs w:val="24"/>
        </w:rPr>
        <w:t xml:space="preserve">. </w:t>
      </w:r>
      <w:r w:rsidRPr="0031656D">
        <w:rPr>
          <w:rFonts w:ascii="Times New Roman" w:hAnsi="Times New Roman" w:cs="Times New Roman"/>
          <w:i/>
          <w:sz w:val="24"/>
          <w:szCs w:val="24"/>
        </w:rPr>
        <w:t>Maryland Law Review</w:t>
      </w:r>
      <w:r w:rsidR="00ED10AC" w:rsidRPr="0031656D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31656D">
        <w:rPr>
          <w:rFonts w:ascii="Times New Roman" w:hAnsi="Times New Roman" w:cs="Times New Roman"/>
          <w:i/>
          <w:sz w:val="24"/>
          <w:szCs w:val="24"/>
        </w:rPr>
        <w:t>7</w:t>
      </w:r>
      <w:r w:rsidR="00ED10AC" w:rsidRPr="0031656D">
        <w:rPr>
          <w:rFonts w:ascii="Times New Roman" w:hAnsi="Times New Roman" w:cs="Times New Roman"/>
          <w:i/>
          <w:sz w:val="24"/>
          <w:szCs w:val="24"/>
        </w:rPr>
        <w:t>5</w:t>
      </w:r>
      <w:r w:rsidR="00ED10AC" w:rsidRPr="0031656D">
        <w:rPr>
          <w:rFonts w:ascii="Times New Roman" w:hAnsi="Times New Roman" w:cs="Times New Roman"/>
          <w:sz w:val="24"/>
          <w:szCs w:val="24"/>
        </w:rPr>
        <w:t xml:space="preserve">, </w:t>
      </w:r>
      <w:r w:rsidRPr="0031656D">
        <w:rPr>
          <w:rFonts w:ascii="Times New Roman" w:hAnsi="Times New Roman" w:cs="Times New Roman"/>
          <w:sz w:val="24"/>
          <w:szCs w:val="24"/>
        </w:rPr>
        <w:t>590-619.</w:t>
      </w:r>
    </w:p>
    <w:p w14:paraId="62B7F019" w14:textId="2A5B40E1" w:rsidR="00AF1C60" w:rsidRPr="0031656D" w:rsidRDefault="00AF1C60" w:rsidP="00AF1C60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31656D">
        <w:rPr>
          <w:rFonts w:ascii="Times New Roman" w:hAnsi="Times New Roman" w:cs="Times New Roman"/>
          <w:sz w:val="24"/>
          <w:szCs w:val="24"/>
        </w:rPr>
        <w:t>Oster, E. &amp; Thornton, R. (2011). Menstruation, sanitary products, and school attendance:</w:t>
      </w:r>
      <w:r w:rsidR="00322ED3">
        <w:rPr>
          <w:rFonts w:ascii="Times New Roman" w:hAnsi="Times New Roman" w:cs="Times New Roman"/>
          <w:sz w:val="24"/>
          <w:szCs w:val="24"/>
        </w:rPr>
        <w:t xml:space="preserve"> </w:t>
      </w:r>
      <w:r w:rsidRPr="0031656D">
        <w:rPr>
          <w:rFonts w:ascii="Times New Roman" w:hAnsi="Times New Roman" w:cs="Times New Roman"/>
          <w:sz w:val="24"/>
          <w:szCs w:val="24"/>
        </w:rPr>
        <w:t xml:space="preserve">Evidence from a randomized evaluation. </w:t>
      </w:r>
      <w:r w:rsidRPr="0031656D">
        <w:rPr>
          <w:rFonts w:ascii="Times New Roman" w:hAnsi="Times New Roman" w:cs="Times New Roman"/>
          <w:i/>
          <w:sz w:val="24"/>
          <w:szCs w:val="24"/>
        </w:rPr>
        <w:t>American Economic Journal: Applied Economics, 3</w:t>
      </w:r>
      <w:r w:rsidRPr="0031656D">
        <w:rPr>
          <w:rFonts w:ascii="Times New Roman" w:hAnsi="Times New Roman" w:cs="Times New Roman"/>
          <w:sz w:val="24"/>
          <w:szCs w:val="24"/>
        </w:rPr>
        <w:t>(1), 91-100.</w:t>
      </w:r>
    </w:p>
    <w:p w14:paraId="19D2CF51" w14:textId="3E8FB27B" w:rsidR="00FA0AAA" w:rsidRPr="0031656D" w:rsidRDefault="00FA0AAA" w:rsidP="001B17FB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31656D">
        <w:rPr>
          <w:rFonts w:ascii="Times New Roman" w:hAnsi="Times New Roman" w:cs="Times New Roman"/>
          <w:sz w:val="24"/>
          <w:szCs w:val="24"/>
        </w:rPr>
        <w:t>Peterson, S., Lasky, N</w:t>
      </w:r>
      <w:r w:rsidR="00322ED3">
        <w:rPr>
          <w:rFonts w:ascii="Times New Roman" w:hAnsi="Times New Roman" w:cs="Times New Roman"/>
          <w:sz w:val="24"/>
          <w:szCs w:val="24"/>
        </w:rPr>
        <w:t>.V.</w:t>
      </w:r>
      <w:r w:rsidRPr="0031656D">
        <w:rPr>
          <w:rFonts w:ascii="Times New Roman" w:hAnsi="Times New Roman" w:cs="Times New Roman"/>
          <w:sz w:val="24"/>
          <w:szCs w:val="24"/>
        </w:rPr>
        <w:t>, Fisher,</w:t>
      </w:r>
      <w:r w:rsidR="00322ED3">
        <w:rPr>
          <w:rFonts w:ascii="Times New Roman" w:hAnsi="Times New Roman" w:cs="Times New Roman"/>
          <w:sz w:val="24"/>
          <w:szCs w:val="24"/>
        </w:rPr>
        <w:t xml:space="preserve"> B.S. &amp;</w:t>
      </w:r>
      <w:r w:rsidRPr="0031656D">
        <w:rPr>
          <w:rFonts w:ascii="Times New Roman" w:hAnsi="Times New Roman" w:cs="Times New Roman"/>
          <w:sz w:val="24"/>
          <w:szCs w:val="24"/>
        </w:rPr>
        <w:t xml:space="preserve"> Wilcox</w:t>
      </w:r>
      <w:r w:rsidR="00322ED3">
        <w:rPr>
          <w:rFonts w:ascii="Times New Roman" w:hAnsi="Times New Roman" w:cs="Times New Roman"/>
          <w:sz w:val="24"/>
          <w:szCs w:val="24"/>
        </w:rPr>
        <w:t>, P.</w:t>
      </w:r>
      <w:r w:rsidRPr="0031656D">
        <w:rPr>
          <w:rFonts w:ascii="Times New Roman" w:hAnsi="Times New Roman" w:cs="Times New Roman"/>
          <w:sz w:val="24"/>
          <w:szCs w:val="24"/>
        </w:rPr>
        <w:t xml:space="preserve"> (2016). Gendered </w:t>
      </w:r>
      <w:r w:rsidR="00322ED3">
        <w:rPr>
          <w:rFonts w:ascii="Times New Roman" w:hAnsi="Times New Roman" w:cs="Times New Roman"/>
          <w:sz w:val="24"/>
          <w:szCs w:val="24"/>
        </w:rPr>
        <w:t>o</w:t>
      </w:r>
      <w:r w:rsidRPr="0031656D">
        <w:rPr>
          <w:rFonts w:ascii="Times New Roman" w:hAnsi="Times New Roman" w:cs="Times New Roman"/>
          <w:sz w:val="24"/>
          <w:szCs w:val="24"/>
        </w:rPr>
        <w:t xml:space="preserve">pportunity and </w:t>
      </w:r>
      <w:r w:rsidR="00322ED3">
        <w:rPr>
          <w:rFonts w:ascii="Times New Roman" w:hAnsi="Times New Roman" w:cs="Times New Roman"/>
          <w:sz w:val="24"/>
          <w:szCs w:val="24"/>
        </w:rPr>
        <w:t>s</w:t>
      </w:r>
      <w:r w:rsidRPr="0031656D">
        <w:rPr>
          <w:rFonts w:ascii="Times New Roman" w:hAnsi="Times New Roman" w:cs="Times New Roman"/>
          <w:sz w:val="24"/>
          <w:szCs w:val="24"/>
        </w:rPr>
        <w:t>chool-</w:t>
      </w:r>
      <w:r w:rsidR="00322ED3">
        <w:rPr>
          <w:rFonts w:ascii="Times New Roman" w:hAnsi="Times New Roman" w:cs="Times New Roman"/>
          <w:sz w:val="24"/>
          <w:szCs w:val="24"/>
        </w:rPr>
        <w:t>b</w:t>
      </w:r>
      <w:r w:rsidRPr="0031656D">
        <w:rPr>
          <w:rFonts w:ascii="Times New Roman" w:hAnsi="Times New Roman" w:cs="Times New Roman"/>
          <w:sz w:val="24"/>
          <w:szCs w:val="24"/>
        </w:rPr>
        <w:t xml:space="preserve">ased </w:t>
      </w:r>
      <w:r w:rsidR="00322ED3">
        <w:rPr>
          <w:rFonts w:ascii="Times New Roman" w:hAnsi="Times New Roman" w:cs="Times New Roman"/>
          <w:sz w:val="24"/>
          <w:szCs w:val="24"/>
        </w:rPr>
        <w:t>v</w:t>
      </w:r>
      <w:r w:rsidRPr="0031656D">
        <w:rPr>
          <w:rFonts w:ascii="Times New Roman" w:hAnsi="Times New Roman" w:cs="Times New Roman"/>
          <w:sz w:val="24"/>
          <w:szCs w:val="24"/>
        </w:rPr>
        <w:t xml:space="preserve">ictimization: An </w:t>
      </w:r>
      <w:r w:rsidR="00322ED3">
        <w:rPr>
          <w:rFonts w:ascii="Times New Roman" w:hAnsi="Times New Roman" w:cs="Times New Roman"/>
          <w:sz w:val="24"/>
          <w:szCs w:val="24"/>
        </w:rPr>
        <w:t>i</w:t>
      </w:r>
      <w:r w:rsidRPr="0031656D">
        <w:rPr>
          <w:rFonts w:ascii="Times New Roman" w:hAnsi="Times New Roman" w:cs="Times New Roman"/>
          <w:sz w:val="24"/>
          <w:szCs w:val="24"/>
        </w:rPr>
        <w:t xml:space="preserve">ntegrated </w:t>
      </w:r>
      <w:r w:rsidR="00322ED3">
        <w:rPr>
          <w:rFonts w:ascii="Times New Roman" w:hAnsi="Times New Roman" w:cs="Times New Roman"/>
          <w:sz w:val="24"/>
          <w:szCs w:val="24"/>
        </w:rPr>
        <w:t>a</w:t>
      </w:r>
      <w:r w:rsidRPr="0031656D">
        <w:rPr>
          <w:rFonts w:ascii="Times New Roman" w:hAnsi="Times New Roman" w:cs="Times New Roman"/>
          <w:sz w:val="24"/>
          <w:szCs w:val="24"/>
        </w:rPr>
        <w:t>pproach.</w:t>
      </w:r>
      <w:r w:rsidR="0049386D">
        <w:rPr>
          <w:rFonts w:ascii="Times New Roman" w:hAnsi="Times New Roman" w:cs="Times New Roman"/>
          <w:sz w:val="24"/>
          <w:szCs w:val="24"/>
        </w:rPr>
        <w:t xml:space="preserve"> </w:t>
      </w:r>
      <w:r w:rsidRPr="0049386D">
        <w:rPr>
          <w:rFonts w:ascii="Times New Roman" w:hAnsi="Times New Roman" w:cs="Times New Roman"/>
          <w:i/>
          <w:sz w:val="24"/>
          <w:szCs w:val="24"/>
        </w:rPr>
        <w:t>Youth Violence and Juvenile Justice</w:t>
      </w:r>
      <w:r w:rsidR="00322ED3" w:rsidRPr="0049386D">
        <w:rPr>
          <w:rFonts w:ascii="Times New Roman" w:hAnsi="Times New Roman" w:cs="Times New Roman"/>
          <w:i/>
          <w:sz w:val="24"/>
          <w:szCs w:val="24"/>
        </w:rPr>
        <w:t>, 16</w:t>
      </w:r>
      <w:r w:rsidR="0049386D">
        <w:rPr>
          <w:rFonts w:ascii="Times New Roman" w:hAnsi="Times New Roman" w:cs="Times New Roman"/>
          <w:sz w:val="24"/>
          <w:szCs w:val="24"/>
        </w:rPr>
        <w:t>(</w:t>
      </w:r>
      <w:r w:rsidR="00322ED3" w:rsidRPr="00322ED3">
        <w:rPr>
          <w:rFonts w:ascii="Times New Roman" w:hAnsi="Times New Roman" w:cs="Times New Roman"/>
          <w:sz w:val="24"/>
          <w:szCs w:val="24"/>
        </w:rPr>
        <w:t>2</w:t>
      </w:r>
      <w:r w:rsidR="0049386D">
        <w:rPr>
          <w:rFonts w:ascii="Times New Roman" w:hAnsi="Times New Roman" w:cs="Times New Roman"/>
          <w:sz w:val="24"/>
          <w:szCs w:val="24"/>
        </w:rPr>
        <w:t>),</w:t>
      </w:r>
      <w:r w:rsidR="00322ED3" w:rsidRPr="00322ED3">
        <w:rPr>
          <w:rFonts w:ascii="Times New Roman" w:hAnsi="Times New Roman" w:cs="Times New Roman"/>
          <w:sz w:val="24"/>
          <w:szCs w:val="24"/>
        </w:rPr>
        <w:t xml:space="preserve"> 137-155</w:t>
      </w:r>
      <w:r w:rsidR="0049386D">
        <w:rPr>
          <w:rFonts w:ascii="Times New Roman" w:hAnsi="Times New Roman" w:cs="Times New Roman"/>
          <w:sz w:val="24"/>
          <w:szCs w:val="24"/>
        </w:rPr>
        <w:t>.</w:t>
      </w:r>
    </w:p>
    <w:p w14:paraId="2F0403EB" w14:textId="29BEEF74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Plevnik, A., Balant, M. &amp; Mladenovič, L. (2017). Alarming changes in youth mobility: Primary school pupils in Novo Mesto.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Urbani Izziv, 28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(2), 149-158. </w:t>
      </w:r>
    </w:p>
    <w:p w14:paraId="446FAE0E" w14:textId="522F3AE9" w:rsidR="00BE010F" w:rsidRPr="0031656D" w:rsidRDefault="00BE010F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Richards, T</w:t>
      </w:r>
      <w:r w:rsidR="00F62DA6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 Branch, K</w:t>
      </w:r>
      <w:r w:rsidR="00F62DA6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.,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Fleury-Steiner, R</w:t>
      </w:r>
      <w:r w:rsidR="00F62DA6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 &amp;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Kafonek, K</w:t>
      </w:r>
      <w:r w:rsidR="00F62DA6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="00F62DA6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2017</w:t>
      </w:r>
      <w:r w:rsidR="00F62DA6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)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. A </w:t>
      </w:r>
      <w:r w:rsidR="00F62DA6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eminist analysis of campus sexual assault policies:</w:t>
      </w:r>
      <w:r w:rsidR="00F62DA6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Results from a national sample.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Family Relations, 66</w:t>
      </w:r>
      <w:r w:rsidR="00F62DA6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1</w:t>
      </w:r>
      <w:r w:rsidR="00F62DA6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)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 104-115</w:t>
      </w:r>
      <w:r w:rsidR="00F62DA6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</w:p>
    <w:p w14:paraId="3CBAB637" w14:textId="3568AEAA" w:rsidR="00FA0AAA" w:rsidRPr="0031656D" w:rsidRDefault="00FA0AAA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Scherer, H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L.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Snyder,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J.A. &amp;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Fisher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 B.S. (2016)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.  Intimate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artner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v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ictimization among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ollege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tudents with and without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d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sabilities:  Prevalence of and e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motional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wellbeing.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Journal of Interpersonal Violence</w:t>
      </w:r>
      <w:r w:rsidR="003011C9"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,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31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48-80.</w:t>
      </w:r>
    </w:p>
    <w:p w14:paraId="407F4B50" w14:textId="53F50D42" w:rsidR="009826D1" w:rsidRPr="0031656D" w:rsidRDefault="009826D1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Schwandt, H. M., &amp; Underwood, C. (2016). Engaging school personnel in making schools safe for girls in Botswana, Malawi, and Mozambique.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International Journal of Educational Development, 46,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53-58.</w:t>
      </w:r>
    </w:p>
    <w:p w14:paraId="37A5BCDF" w14:textId="77777777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Seeberg, V. (2014). Girls' schooling empowerment in rural China: Identifying capabilities and social change in the village.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Comparative Education Review, 58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(4), 678-707.</w:t>
      </w:r>
    </w:p>
    <w:p w14:paraId="25A62BE5" w14:textId="6E7EA231" w:rsidR="003011C9" w:rsidRPr="0031656D" w:rsidRDefault="003011C9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Sloan, J.J. &amp; Fisher, B.S. (2011). The dark side of the ivory tower:   Campus crime as a social problem.  Cambridge, UK: Cambridge University Press.    </w:t>
      </w:r>
    </w:p>
    <w:p w14:paraId="6C4B981E" w14:textId="77777777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Sommer, M., Ackatia-Armah, N., Connolly, S., &amp; Smiles, D. (2015). A comparison of the menstruation and education experiences of girls in Tanzania, Ghana, Cambodia and Ethiopia.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Compare: A Journal of Comparative and International Education, 45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(4), 589- 609.</w:t>
      </w:r>
    </w:p>
    <w:p w14:paraId="606B7411" w14:textId="53D6639A" w:rsidR="00AF1C60" w:rsidRPr="0031656D" w:rsidRDefault="00AF1C60" w:rsidP="00AF1C60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lastRenderedPageBreak/>
        <w:t xml:space="preserve">Sommer, M., Caruso, B. A., Sahin, M., Calderon, T., Cavill, S., Mahon, T., &amp; Phillips-Howard, P. A. (2016). A time for global action: Addressing girls’ menstrual hygiene management needs in schools.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PLoS Medicine, 13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e1001962.</w:t>
      </w:r>
    </w:p>
    <w:p w14:paraId="248FFC24" w14:textId="1665F4C2" w:rsidR="00AF1C60" w:rsidRPr="0031656D" w:rsidRDefault="00AF1C60" w:rsidP="00AF1C60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Sperling, G., &amp; Withrop, R. (2015)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What works in girls’ education: Evidence for the world’s best investment.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Washington, DC: Brookings Institution Press.</w:t>
      </w:r>
    </w:p>
    <w:p w14:paraId="06855E1F" w14:textId="1F528FBD" w:rsidR="0099453D" w:rsidRPr="0031656D" w:rsidRDefault="0099453D" w:rsidP="00AF1C60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Stacki, S. L. &amp; Baily, S. (Eds.). (2015).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Educating adolescent girls around the globe: Challenges and opportunities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 New York: Routledge.</w:t>
      </w:r>
    </w:p>
    <w:p w14:paraId="751B6B76" w14:textId="1CC9BA0B" w:rsidR="00FA0AAA" w:rsidRPr="0031656D" w:rsidRDefault="00FA0AAA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Synder, J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A.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Scherer,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H.L. &amp;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Fisher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 B.S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.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(2018). 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Interpersonal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v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iolence among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ollege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students: Does s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exual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o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rientation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ncrease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isk of 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v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ictimization?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Journal of School Violence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</w:t>
      </w:r>
      <w:r w:rsidR="004938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="003011C9" w:rsidRPr="004938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17</w:t>
      </w:r>
      <w:r w:rsidR="003011C9"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(1),1-15.</w:t>
      </w:r>
    </w:p>
    <w:p w14:paraId="446E5982" w14:textId="77777777" w:rsidR="00DE7736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UN Women (2018).  Guidance note on campus violence prevention and response.  New York: UN Women.  </w:t>
      </w:r>
      <w:hyperlink r:id="rId15" w:history="1">
        <w:r w:rsidRPr="0031656D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n-US"/>
          </w:rPr>
          <w:t>http://www.unwomen.org/-/media/headquarters/attachments/sections/library/publications/2019/campus-violence%20note_guiding_principles.pdf?la=en&amp;vs=3710</w:t>
        </w:r>
      </w:hyperlink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</w:p>
    <w:p w14:paraId="6F934A56" w14:textId="269520FE" w:rsidR="00207BDF" w:rsidRPr="00207BDF" w:rsidRDefault="00207BDF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207BDF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UNESCO (2018). </w:t>
      </w:r>
      <w:r w:rsidRPr="00207BDF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Global education monitoring report gender review 2018: Meeting our commitments to gender equality in education.</w:t>
      </w:r>
      <w:r w:rsidRPr="00207BD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hyperlink r:id="rId16" w:history="1">
        <w:r w:rsidRPr="00207BDF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n-US"/>
          </w:rPr>
          <w:t>https://unesdoc.unesco.org/ark:/48223/pf0000261593</w:t>
        </w:r>
      </w:hyperlink>
      <w:r w:rsidRPr="00207BD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</w:p>
    <w:p w14:paraId="586CA365" w14:textId="77777777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UNESCO and UN Women (2016). Global guidance on addressing school-related gender-based violence.  Paris: UNESCO and UN Women. </w:t>
      </w:r>
      <w:hyperlink r:id="rId17" w:history="1">
        <w:r w:rsidRPr="0031656D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n-US"/>
          </w:rPr>
          <w:t>http://www.unwomen.org/-/media/headquarters/attachments/sections/library/publications/2016/school-related-gender-based-violence-guidance-en.pdf?la=en&amp;vs=3954</w:t>
        </w:r>
      </w:hyperlink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  </w:t>
      </w:r>
    </w:p>
    <w:p w14:paraId="3DDA4BC7" w14:textId="528045B5" w:rsidR="00AF1C60" w:rsidRPr="0031656D" w:rsidRDefault="00AF1C60" w:rsidP="00AF1C60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Trinies, V., Caruso, B., Sogoré, A., Toubkiss, J., &amp; Freeman, M. (2015). Uncovering the challenges to menstrual hygiene management in schools in Mali.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Waterlines, 34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31-40.</w:t>
      </w:r>
    </w:p>
    <w:p w14:paraId="5AC54B5B" w14:textId="77777777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University Grants Commission (UGC) (2013). SAKSHAM: Measures for Ensuring the Safety of Women and Programmes for Gender Sensitization on Campuses, New Delhi: University Grants Commission.</w:t>
      </w:r>
    </w:p>
    <w:p w14:paraId="4DF14839" w14:textId="7028167C" w:rsidR="001B17FB" w:rsidRPr="0031656D" w:rsidRDefault="001B17FB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Violence Against Women And Girls Resource Guide Education Sector Brief. (2015).  </w:t>
      </w:r>
      <w:hyperlink r:id="rId18" w:history="1">
        <w:r w:rsidRPr="0031656D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n-US"/>
          </w:rPr>
          <w:t>http://www.vawgresourceguide.org/sites/default/files/briefs/vawg_resource_guide_education_sector_brief_april_2015.pdf</w:t>
        </w:r>
      </w:hyperlink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</w:p>
    <w:p w14:paraId="47A4F3E3" w14:textId="77777777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Wernick, L. J., Kulick, A., &amp; Chin, M. (2017). Gender identity disparities in bathroom safety and wellbeing among high school students. 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Journal of Youth and Adolescence, 46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(5), 917-930. </w:t>
      </w:r>
    </w:p>
    <w:p w14:paraId="36E193E0" w14:textId="078E2185" w:rsidR="001B17FB" w:rsidRPr="0031656D" w:rsidRDefault="001B17FB" w:rsidP="001B17FB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31656D">
        <w:rPr>
          <w:rFonts w:ascii="Times New Roman" w:hAnsi="Times New Roman" w:cs="Times New Roman"/>
          <w:sz w:val="24"/>
          <w:szCs w:val="24"/>
        </w:rPr>
        <w:t xml:space="preserve">Women and Law in Southern Africa-Zambia , Avon Global Center for Women and Justice at Cornell Law School and Cornell Law School International Human Rights Clinic. (2012). </w:t>
      </w:r>
      <w:r w:rsidRPr="0031656D">
        <w:rPr>
          <w:rFonts w:ascii="Times New Roman" w:hAnsi="Times New Roman" w:cs="Times New Roman"/>
          <w:i/>
          <w:sz w:val="24"/>
          <w:szCs w:val="24"/>
        </w:rPr>
        <w:t xml:space="preserve">“They are Destroying Our Futures”: Sexual </w:t>
      </w:r>
      <w:r w:rsidR="003011C9" w:rsidRPr="0031656D">
        <w:rPr>
          <w:rFonts w:ascii="Times New Roman" w:hAnsi="Times New Roman" w:cs="Times New Roman"/>
          <w:i/>
          <w:sz w:val="24"/>
          <w:szCs w:val="24"/>
        </w:rPr>
        <w:t>vi</w:t>
      </w:r>
      <w:r w:rsidRPr="0031656D">
        <w:rPr>
          <w:rFonts w:ascii="Times New Roman" w:hAnsi="Times New Roman" w:cs="Times New Roman"/>
          <w:i/>
          <w:sz w:val="24"/>
          <w:szCs w:val="24"/>
        </w:rPr>
        <w:t xml:space="preserve">olence </w:t>
      </w:r>
      <w:r w:rsidR="003011C9" w:rsidRPr="0031656D">
        <w:rPr>
          <w:rFonts w:ascii="Times New Roman" w:hAnsi="Times New Roman" w:cs="Times New Roman"/>
          <w:i/>
          <w:sz w:val="24"/>
          <w:szCs w:val="24"/>
        </w:rPr>
        <w:t>a</w:t>
      </w:r>
      <w:r w:rsidRPr="0031656D">
        <w:rPr>
          <w:rFonts w:ascii="Times New Roman" w:hAnsi="Times New Roman" w:cs="Times New Roman"/>
          <w:i/>
          <w:sz w:val="24"/>
          <w:szCs w:val="24"/>
        </w:rPr>
        <w:t xml:space="preserve">gainst </w:t>
      </w:r>
      <w:r w:rsidR="003011C9" w:rsidRPr="0031656D">
        <w:rPr>
          <w:rFonts w:ascii="Times New Roman" w:hAnsi="Times New Roman" w:cs="Times New Roman"/>
          <w:i/>
          <w:sz w:val="24"/>
          <w:szCs w:val="24"/>
        </w:rPr>
        <w:t>g</w:t>
      </w:r>
      <w:r w:rsidRPr="0031656D">
        <w:rPr>
          <w:rFonts w:ascii="Times New Roman" w:hAnsi="Times New Roman" w:cs="Times New Roman"/>
          <w:i/>
          <w:sz w:val="24"/>
          <w:szCs w:val="24"/>
        </w:rPr>
        <w:t xml:space="preserve">irls in Zambia’s </w:t>
      </w:r>
      <w:r w:rsidR="003011C9" w:rsidRPr="0031656D">
        <w:rPr>
          <w:rFonts w:ascii="Times New Roman" w:hAnsi="Times New Roman" w:cs="Times New Roman"/>
          <w:i/>
          <w:sz w:val="24"/>
          <w:szCs w:val="24"/>
        </w:rPr>
        <w:t>s</w:t>
      </w:r>
      <w:r w:rsidRPr="0031656D">
        <w:rPr>
          <w:rFonts w:ascii="Times New Roman" w:hAnsi="Times New Roman" w:cs="Times New Roman"/>
          <w:i/>
          <w:sz w:val="24"/>
          <w:szCs w:val="24"/>
        </w:rPr>
        <w:t>chools.</w:t>
      </w:r>
      <w:r w:rsidRPr="0031656D">
        <w:rPr>
          <w:rFonts w:ascii="Times New Roman" w:hAnsi="Times New Roman" w:cs="Times New Roman"/>
          <w:sz w:val="24"/>
          <w:szCs w:val="24"/>
        </w:rPr>
        <w:t xml:space="preserve"> Retrieved from: </w:t>
      </w:r>
      <w:hyperlink r:id="rId19" w:history="1">
        <w:r w:rsidRPr="0031656D">
          <w:rPr>
            <w:rStyle w:val="Hyperlink"/>
            <w:rFonts w:ascii="Times New Roman" w:hAnsi="Times New Roman" w:cs="Times New Roman"/>
            <w:sz w:val="24"/>
            <w:szCs w:val="24"/>
          </w:rPr>
          <w:t>http://www.lawschool.cornell.edu/womenandjustice/Conferences-and-Events/upload/SexualViolence-Against-Girls-in-Zambia-s-Schools.pdf</w:t>
        </w:r>
      </w:hyperlink>
      <w:r w:rsidRPr="0031656D">
        <w:rPr>
          <w:rFonts w:ascii="Times New Roman" w:hAnsi="Times New Roman" w:cs="Times New Roman"/>
          <w:sz w:val="24"/>
          <w:szCs w:val="24"/>
        </w:rPr>
        <w:t xml:space="preserve">   </w:t>
      </w:r>
    </w:p>
    <w:p w14:paraId="43DAA012" w14:textId="01F30BD8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Woolley, S.W. (2017). Contesting silence, claiming space: Gender and sexuality in the neo-liberal public high school.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Gender and Education, 29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(1), 84-99. </w:t>
      </w:r>
    </w:p>
    <w:p w14:paraId="353BA629" w14:textId="588174A5" w:rsidR="00DE7736" w:rsidRPr="0031656D" w:rsidRDefault="00DE7736" w:rsidP="001B17F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Yablon, Y.B., &amp; Addington, L.A. (2018). Students’ feeling of safety in school: Does frequency of victimization matter? </w:t>
      </w:r>
      <w:r w:rsidRPr="0031656D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American Journal of Criminal Justice: AJCJ, 43</w:t>
      </w:r>
      <w:r w:rsidRPr="0031656D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26-38.</w:t>
      </w:r>
    </w:p>
    <w:p w14:paraId="1C3FC685" w14:textId="6831C0FE" w:rsidR="005164CB" w:rsidRPr="0031656D" w:rsidRDefault="005164CB" w:rsidP="001B17FB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</w:p>
    <w:p w14:paraId="40C09C0A" w14:textId="06C95FAA" w:rsidR="00311871" w:rsidRPr="0031656D" w:rsidRDefault="00AF1C60" w:rsidP="0031656D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31656D">
        <w:rPr>
          <w:rFonts w:ascii="Times New Roman" w:hAnsi="Times New Roman" w:cs="Times New Roman"/>
          <w:b/>
          <w:sz w:val="24"/>
          <w:szCs w:val="24"/>
        </w:rPr>
        <w:t>Compiled by Bengi Sullu and Rosemary Barberet, ISA Representatives to the United Nations</w:t>
      </w:r>
    </w:p>
    <w:sectPr w:rsidR="00311871" w:rsidRPr="0031656D" w:rsidSect="00AF1C60">
      <w:headerReference w:type="default" r:id="rId20"/>
      <w:footerReference w:type="default" r:id="rId21"/>
      <w:pgSz w:w="12240" w:h="15840" w:code="1"/>
      <w:pgMar w:top="1440" w:right="1080" w:bottom="1440" w:left="1080" w:header="1701" w:footer="851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8F71339" w14:textId="77777777" w:rsidR="00992D26" w:rsidRDefault="00992D26" w:rsidP="00534A9C">
      <w:pPr>
        <w:spacing w:line="240" w:lineRule="auto"/>
      </w:pPr>
      <w:r>
        <w:separator/>
      </w:r>
    </w:p>
  </w:endnote>
  <w:endnote w:type="continuationSeparator" w:id="0">
    <w:p w14:paraId="32E01C46" w14:textId="77777777" w:rsidR="00992D26" w:rsidRDefault="00992D26" w:rsidP="00534A9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D74CE9A" w14:textId="39D42D3B" w:rsidR="00D33BD3" w:rsidRDefault="00D33BD3" w:rsidP="00D33BD3">
    <w:pPr>
      <w:pStyle w:val="Footer"/>
      <w:tabs>
        <w:tab w:val="clear" w:pos="4680"/>
        <w:tab w:val="clear" w:pos="9360"/>
        <w:tab w:val="left" w:pos="2230"/>
      </w:tabs>
    </w:pPr>
    <w:r>
      <w:rPr>
        <w:noProof/>
        <w:lang w:val="en-US"/>
      </w:rPr>
      <w:drawing>
        <wp:anchor distT="0" distB="0" distL="114300" distR="114300" simplePos="0" relativeHeight="251663360" behindDoc="0" locked="0" layoutInCell="1" allowOverlap="1" wp14:anchorId="25EDF958" wp14:editId="7FD8F779">
          <wp:simplePos x="0" y="0"/>
          <wp:positionH relativeFrom="column">
            <wp:posOffset>-668655</wp:posOffset>
          </wp:positionH>
          <wp:positionV relativeFrom="paragraph">
            <wp:posOffset>-125095</wp:posOffset>
          </wp:positionV>
          <wp:extent cx="3767455" cy="681990"/>
          <wp:effectExtent l="0" t="0" r="0" b="3810"/>
          <wp:wrapSquare wrapText="bothSides"/>
          <wp:docPr id="1" name="image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767455" cy="68199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37F1586" w14:textId="77777777" w:rsidR="00992D26" w:rsidRDefault="00992D26" w:rsidP="00534A9C">
      <w:pPr>
        <w:spacing w:line="240" w:lineRule="auto"/>
      </w:pPr>
      <w:r>
        <w:separator/>
      </w:r>
    </w:p>
  </w:footnote>
  <w:footnote w:type="continuationSeparator" w:id="0">
    <w:p w14:paraId="65D071B1" w14:textId="77777777" w:rsidR="00992D26" w:rsidRDefault="00992D26" w:rsidP="00534A9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63E362" w14:textId="7956CDAF" w:rsidR="00336B91" w:rsidRDefault="003A6039">
    <w:pPr>
      <w:pStyle w:val="Header"/>
    </w:pPr>
    <w:r>
      <w:rPr>
        <w:noProof/>
        <w:lang w:val="en-US"/>
      </w:rPr>
      <w:drawing>
        <wp:anchor distT="0" distB="0" distL="114300" distR="114300" simplePos="0" relativeHeight="251660288" behindDoc="0" locked="0" layoutInCell="0" allowOverlap="1" wp14:anchorId="3A9C11E4" wp14:editId="63E8A688">
          <wp:simplePos x="0" y="0"/>
          <wp:positionH relativeFrom="page">
            <wp:posOffset>2122395</wp:posOffset>
          </wp:positionH>
          <wp:positionV relativeFrom="paragraph">
            <wp:posOffset>-915670</wp:posOffset>
          </wp:positionV>
          <wp:extent cx="1614170" cy="719455"/>
          <wp:effectExtent l="0" t="0" r="11430" b="0"/>
          <wp:wrapSquare wrapText="bothSides"/>
          <wp:docPr id="8" name="image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14170" cy="719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1312" behindDoc="0" locked="0" layoutInCell="1" allowOverlap="1" wp14:anchorId="635EEDFB" wp14:editId="7891DB45">
          <wp:simplePos x="0" y="0"/>
          <wp:positionH relativeFrom="column">
            <wp:posOffset>3313450</wp:posOffset>
          </wp:positionH>
          <wp:positionV relativeFrom="paragraph">
            <wp:posOffset>-770255</wp:posOffset>
          </wp:positionV>
          <wp:extent cx="2233930" cy="499745"/>
          <wp:effectExtent l="0" t="0" r="1270" b="8255"/>
          <wp:wrapSquare wrapText="bothSides"/>
          <wp:docPr id="6" name="image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jpg"/>
                  <pic:cNvPicPr preferRelativeResize="0"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233930" cy="49974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59264" behindDoc="0" locked="0" layoutInCell="1" allowOverlap="1" wp14:anchorId="46867E27" wp14:editId="121DBADF">
          <wp:simplePos x="0" y="0"/>
          <wp:positionH relativeFrom="column">
            <wp:posOffset>5614035</wp:posOffset>
          </wp:positionH>
          <wp:positionV relativeFrom="paragraph">
            <wp:posOffset>-1149350</wp:posOffset>
          </wp:positionV>
          <wp:extent cx="1157257" cy="1358250"/>
          <wp:effectExtent l="0" t="0" r="11430" b="0"/>
          <wp:wrapSquare wrapText="bothSides"/>
          <wp:docPr id="4" name="image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jpg"/>
                  <pic:cNvPicPr preferRelativeResize="0"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7257" cy="1358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15219">
      <w:rPr>
        <w:noProof/>
        <w:lang w:val="en-US"/>
      </w:rPr>
      <w:drawing>
        <wp:anchor distT="0" distB="0" distL="114300" distR="114300" simplePos="0" relativeHeight="251658240" behindDoc="0" locked="0" layoutInCell="1" allowOverlap="1" wp14:anchorId="6130D56F" wp14:editId="7E53CB34">
          <wp:simplePos x="0" y="0"/>
          <wp:positionH relativeFrom="column">
            <wp:posOffset>-737870</wp:posOffset>
          </wp:positionH>
          <wp:positionV relativeFrom="paragraph">
            <wp:posOffset>-952500</wp:posOffset>
          </wp:positionV>
          <wp:extent cx="1496300" cy="936000"/>
          <wp:effectExtent l="0" t="0" r="2540" b="3810"/>
          <wp:wrapSquare wrapText="bothSides"/>
          <wp:docPr id="5" name="image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png"/>
                  <pic:cNvPicPr preferRelativeResize="0"/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5542"/>
                  <a:stretch/>
                </pic:blipFill>
                <pic:spPr bwMode="auto">
                  <a:xfrm>
                    <a:off x="0" y="0"/>
                    <a:ext cx="1496300" cy="936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57623">
      <w:rPr>
        <w:noProof/>
        <w:lang w:val="en-US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9"/>
  <w:defaultTabStop w:val="720"/>
  <w:drawingGridHorizontalSpacing w:val="110"/>
  <w:drawingGridVerticalSpacing w:val="299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311871"/>
    <w:rsid w:val="000579AF"/>
    <w:rsid w:val="000B0948"/>
    <w:rsid w:val="001613DC"/>
    <w:rsid w:val="00186A9E"/>
    <w:rsid w:val="001B17FB"/>
    <w:rsid w:val="001D3167"/>
    <w:rsid w:val="00207BDF"/>
    <w:rsid w:val="002F074C"/>
    <w:rsid w:val="003011C9"/>
    <w:rsid w:val="00311871"/>
    <w:rsid w:val="0031656D"/>
    <w:rsid w:val="003176D0"/>
    <w:rsid w:val="00322ED3"/>
    <w:rsid w:val="00336B91"/>
    <w:rsid w:val="003459FB"/>
    <w:rsid w:val="00396157"/>
    <w:rsid w:val="0039631C"/>
    <w:rsid w:val="003A6039"/>
    <w:rsid w:val="0049386D"/>
    <w:rsid w:val="005164CB"/>
    <w:rsid w:val="00534A9C"/>
    <w:rsid w:val="0063407F"/>
    <w:rsid w:val="0070233B"/>
    <w:rsid w:val="00731447"/>
    <w:rsid w:val="007679FE"/>
    <w:rsid w:val="007C3006"/>
    <w:rsid w:val="00832D16"/>
    <w:rsid w:val="009237A0"/>
    <w:rsid w:val="00942860"/>
    <w:rsid w:val="009826D1"/>
    <w:rsid w:val="00992D26"/>
    <w:rsid w:val="0099453D"/>
    <w:rsid w:val="00A57CCE"/>
    <w:rsid w:val="00A83307"/>
    <w:rsid w:val="00AA330A"/>
    <w:rsid w:val="00AA5E95"/>
    <w:rsid w:val="00AB2F9C"/>
    <w:rsid w:val="00AF1C60"/>
    <w:rsid w:val="00B135AE"/>
    <w:rsid w:val="00B15219"/>
    <w:rsid w:val="00BE010F"/>
    <w:rsid w:val="00C13B07"/>
    <w:rsid w:val="00D33BD3"/>
    <w:rsid w:val="00D34859"/>
    <w:rsid w:val="00D7725F"/>
    <w:rsid w:val="00DD31F3"/>
    <w:rsid w:val="00DE7736"/>
    <w:rsid w:val="00E13CAE"/>
    <w:rsid w:val="00E46587"/>
    <w:rsid w:val="00E611E2"/>
    <w:rsid w:val="00E96676"/>
    <w:rsid w:val="00ED10AC"/>
    <w:rsid w:val="00F57623"/>
    <w:rsid w:val="00F62DA6"/>
    <w:rsid w:val="00FA0AAA"/>
    <w:rsid w:val="00FB4947"/>
    <w:rsid w:val="00FB7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2135F2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4A9C"/>
  </w:style>
  <w:style w:type="paragraph" w:styleId="Footer">
    <w:name w:val="footer"/>
    <w:basedOn w:val="Normal"/>
    <w:link w:val="Foot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4A9C"/>
  </w:style>
  <w:style w:type="character" w:styleId="Hyperlink">
    <w:name w:val="Hyperlink"/>
    <w:basedOn w:val="DefaultParagraphFont"/>
    <w:uiPriority w:val="99"/>
    <w:unhideWhenUsed/>
    <w:rsid w:val="0070233B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ED10AC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4A9C"/>
  </w:style>
  <w:style w:type="paragraph" w:styleId="Footer">
    <w:name w:val="footer"/>
    <w:basedOn w:val="Normal"/>
    <w:link w:val="Foot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4A9C"/>
  </w:style>
  <w:style w:type="character" w:styleId="Hyperlink">
    <w:name w:val="Hyperlink"/>
    <w:basedOn w:val="DefaultParagraphFont"/>
    <w:uiPriority w:val="99"/>
    <w:unhideWhenUsed/>
    <w:rsid w:val="0070233B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ED10AC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s://www.aau.edu/Climate-Survey.aspx?id=16525" TargetMode="External"/><Relationship Id="rId20" Type="http://schemas.openxmlformats.org/officeDocument/2006/relationships/header" Target="header1.xml"/><Relationship Id="rId21" Type="http://schemas.openxmlformats.org/officeDocument/2006/relationships/footer" Target="footer1.xml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hyperlink" Target="http://www.oxfam.org/sites/www.oxfam.org/files/afghanistan-girls-education-022411.pdf" TargetMode="External"/><Relationship Id="rId11" Type="http://schemas.openxmlformats.org/officeDocument/2006/relationships/hyperlink" Target="https://www.glsen.org/sites/default/files/GLSEN%202017%20National%20School%20Climate%20Survey%20%28NSCS%29%20-%20Full%20Report.pdf" TargetMode="External"/><Relationship Id="rId12" Type="http://schemas.openxmlformats.org/officeDocument/2006/relationships/hyperlink" Target="https://www.unicef.org/wash/schools/files/Bolivia_MHM_Booklet_DM_15_Nov_single_0940_Bolivia.pdf" TargetMode="External"/><Relationship Id="rId13" Type="http://schemas.openxmlformats.org/officeDocument/2006/relationships/hyperlink" Target="https://www.hrw.org/report/2017/02/14/i-had-dream-finish-school/barriers-secondary-education-tanzania" TargetMode="External"/><Relationship Id="rId14" Type="http://schemas.openxmlformats.org/officeDocument/2006/relationships/hyperlink" Target="https://crimesciencejournal.springeropen.com/articles/10.1186/s40163-016-0054-9" TargetMode="External"/><Relationship Id="rId15" Type="http://schemas.openxmlformats.org/officeDocument/2006/relationships/hyperlink" Target="http://www.unwomen.org/-/media/headquarters/attachments/sections/library/publications/2019/campus-violence%20note_guiding_principles.pdf?la=en&amp;vs=3710" TargetMode="External"/><Relationship Id="rId16" Type="http://schemas.openxmlformats.org/officeDocument/2006/relationships/hyperlink" Target="https://unesdoc.unesco.org/ark:/48223/pf0000261593" TargetMode="External"/><Relationship Id="rId17" Type="http://schemas.openxmlformats.org/officeDocument/2006/relationships/hyperlink" Target="http://www.unwomen.org/-/media/headquarters/attachments/sections/library/publications/2016/school-related-gender-based-violence-guidance-en.pdf?la=en&amp;vs=3954" TargetMode="External"/><Relationship Id="rId18" Type="http://schemas.openxmlformats.org/officeDocument/2006/relationships/hyperlink" Target="http://www.vawgresourceguide.org/sites/default/files/briefs/vawg_resource_guide_education_sector_brief_april_2015.pdf" TargetMode="External"/><Relationship Id="rId19" Type="http://schemas.openxmlformats.org/officeDocument/2006/relationships/hyperlink" Target="http://www.lawschool.cornell.edu/womenandjustice/Conferences-and-Events/upload/SexualViolence-Against-Girls-in-Zambia-s-Schools.pdf" TargetMode="Externa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yperlink" Target="http://www.actionaidusa.org/sites/files/actionaid/svags_review_final.pdf" TargetMode="External"/><Relationship Id="rId8" Type="http://schemas.openxmlformats.org/officeDocument/2006/relationships/hyperlink" Target="https://www.hrw.org/report/2017/10/17/i-wont-be-doctor-and-one-day-youll-be-sick/girls-access-education-afghanistan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4" Type="http://schemas.openxmlformats.org/officeDocument/2006/relationships/image" Target="media/image4.png"/><Relationship Id="rId1" Type="http://schemas.openxmlformats.org/officeDocument/2006/relationships/image" Target="media/image1.jp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198</TotalTime>
  <Pages>4</Pages>
  <Words>2189</Words>
  <Characters>12480</Characters>
  <Application>Microsoft Macintosh Word</Application>
  <DocSecurity>0</DocSecurity>
  <Lines>104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Tomas Rod</dc:creator>
  <cp:lastModifiedBy>Jay S Albanese</cp:lastModifiedBy>
  <cp:revision>12</cp:revision>
  <dcterms:created xsi:type="dcterms:W3CDTF">2019-03-13T14:59:00Z</dcterms:created>
  <dcterms:modified xsi:type="dcterms:W3CDTF">2019-05-06T19:29:00Z</dcterms:modified>
</cp:coreProperties>
</file>